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c4ab35cf456c4129"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19118</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EKONOMSKO-TURISTIČKA ŠKOLA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762.857,39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783.431,09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871.950,82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765.531,44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17.899,65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710,74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5.971,29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840,2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700,22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5.971,29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852,8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11.928,36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t xml:space="preserve">Prihodi poslovanja u razdoblju 1.1.2026. - 30.6.2026. ostvareni su u iznosu 783.431,09 eura.</w:t>
      </w:r>
    </w:p>
    <w:p>
      <w:r>
        <w:t xml:space="preserve">Najznačajnije povećanje prihoda poslovanja ostvareno je kod prihoda od pruženih usluga jer se školska dvorana u 2026. godini znatno više iznajmljuje. Najznačajnije smanjenje prihoda poslovanja bilježi se na pomoćima od međunarodnih organizacija jer su u 2025. godini ostvareni prihodi za TOLI projekt Holokaust.</w:t>
      </w:r>
    </w:p>
    <w:p>
      <w:r>
        <w:t xml:space="preserve">Rashodi poslovanja u razdoblju 1.1.2026. - 30.6.2026. ostvareni su u iznosu 765.531,44 eura.</w:t>
      </w:r>
    </w:p>
    <w:p>
      <w:r>
        <w:t xml:space="preserve">Najznačajnije povećanje rashoda poslovanja evidentirano je na rashodima za materijal i dijelove za tekuće i investicijsko održavanje jer je nabavljen materijal za potrebe krečenja učionica. Najznačajnije smanjenje rashoda poslovanja bilježi se na rashodima za naknade troškova osobama izvan radnog odnosa što se odnosi na mobilnost učenika u sklopu završne aktivnosti projekta Židovi u Karlovcu u 2025. godini. </w:t>
      </w:r>
    </w:p>
    <w:p>
      <w:r>
        <w:t xml:space="preserve">Prihoda od prodaje nefinancijske imovine nema je su stanovi na koje je postojalo stanarsko pravo otplaćeni.  Rashodi od nefinancijske imovine iznose 5.971,29 eura, a odnose se na nabavu recepcijskog stola, 2 klima uređaja,  2 laptopa, 2 printera te knjiga za knjižnicu.</w:t>
      </w:r>
    </w:p>
    <w:p>
      <w:r>
        <w:t xml:space="preserve">U navedenom razdoblju nije bilo ostvarenih primitaka i izdataka od financijske imovine i zaduživanja.</w:t>
      </w:r>
    </w:p>
    <w:p>
      <w:r>
        <w:t xml:space="preserve">U razdoblju 1.1.2026. - 30.6.2026. ostvaren je višak prihoda poslovanja u iznosu 17.899,65 eura i manjak prihoda od nefinacijske imovine 5.971,29 eura slijedom čega je na kraju izvještajnog razdoblja ostvaren ukupni višak prihoda i primitaka u iznosu 11.928,36 eura.</w:t>
      </w:r>
    </w:p>
    <w:p>
      <w:r>
        <w:t xml:space="preserve">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od međunarodnih organizacija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Tekuće pomoći od međunarodnih organizacija u 2025. godini odnose se na prihode za TOLI projekt Holokaust.</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Kamate na oročena sredstva i depozite po viđenju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Kamata na depozite po viđenju  u 2026. godini nemamo jer škola nema vlastiti žiro račun.</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pruženih usluga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15.772,71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32.835,00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208,2</w:t>
            </w:r>
          </w:p>
        </w:tc>
      </w:tr>
    </w:tbl>
    <w:p>
      <w:pPr>
        <w:spacing w:before="0" w:after="0"/>
      </w:pPr>
    </w:p>
    <w:p>
      <w:r>
        <w:t xml:space="preserve">Prihodi od pruženih usluga znatno su viši u odnosu na prethodnu godinu jer se dvorana više daje u najam nakon izmjene parketa te stvaranja boljih uvjeta.</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588,11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Tekuće donacije odnose na primljene donacije za WorldSkills natjecanje kojem smo bili domaćini.</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donacije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428,79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Kapitalne donacije odnose se na donaciju GO PRO kamere u sklopu projekta ''Heritage Stewardship''.</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za nabavu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1.961,83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Prihodi iz nadležnog proračuna za financiranje rashoda za nabavu nefinancijske imovine odnose se na nabavu laptopa, printera te knjiga za knjižnicu.</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redovan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613.732,20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543.725,12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88,6</w:t>
            </w:r>
          </w:p>
        </w:tc>
      </w:tr>
    </w:tbl>
    <w:p>
      <w:pPr>
        <w:spacing w:before="0" w:after="0"/>
      </w:pPr>
    </w:p>
    <w:p>
      <w:r>
        <w:t xml:space="preserve">Plaće za redovan rad manje su u odnosu na prethodnu godinu jer se u 2025. godini izmjenama Pravilnika plaća prvi puta stavlja na trošak, a ne na kontinuirane rashode. </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prekovremeni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19.262,04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14.148,87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73,5</w:t>
            </w:r>
          </w:p>
        </w:tc>
      </w:tr>
    </w:tbl>
    <w:p>
      <w:pPr>
        <w:spacing w:before="0" w:after="0"/>
      </w:pPr>
    </w:p>
    <w:p>
      <w:r>
        <w:t xml:space="preserve">Plaće za prekovremni rad manje su u odnosu na prethodnu godinu jer se u 2025. godini plaća prvi puta stavlja na trošak, a ne na kontinuirane rashode.</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Doprinosi na plaće (šifre 3131 do 3133)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104.443,99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91.910,21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88,0</w:t>
            </w:r>
          </w:p>
        </w:tc>
      </w:tr>
    </w:tbl>
    <w:p>
      <w:pPr>
        <w:spacing w:before="0" w:after="0"/>
      </w:pPr>
    </w:p>
    <w:p>
      <w:r>
        <w:t xml:space="preserve">Doprinosi na plaće manji su u odnosu na prethodnu godinu jer se u 2025. godini izmjenama Pravilnika plaća prvi puta stavlja na trošak, a ne na kontinuirane rashode. </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putovanja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10.202,24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4.852,80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47,6</w:t>
            </w:r>
          </w:p>
        </w:tc>
      </w:tr>
    </w:tbl>
    <w:p>
      <w:pPr>
        <w:spacing w:before="0" w:after="0"/>
      </w:pPr>
    </w:p>
    <w:p>
      <w:r>
        <w:t xml:space="preserve">Troškovi službenih putovanja manji su zbog manje realizacije službenih putovanja u 2026. godini te zbog realizacije završne aktivnosti ''Židovi u Karlovcu '' u 2025. godini.</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prijevoz, za rad na terenu i odvojeni život</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15.876,44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13.022,22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82,0</w:t>
            </w:r>
          </w:p>
        </w:tc>
      </w:tr>
    </w:tbl>
    <w:p>
      <w:pPr>
        <w:spacing w:before="0" w:after="0"/>
      </w:pPr>
    </w:p>
    <w:p>
      <w:r>
        <w:t xml:space="preserve">Naknade za prijevoz manje su u odnosu na prethodnu godinu zbog manjeg broja zaposlenika s većim udaljenostima stanovanja.</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Stručno usavršavanje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662,50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331,2</w:t>
            </w:r>
          </w:p>
        </w:tc>
      </w:tr>
    </w:tbl>
    <w:p>
      <w:pPr>
        <w:spacing w:before="0" w:after="0"/>
      </w:pPr>
    </w:p>
    <w:p>
      <w:r>
        <w:t xml:space="preserve">Troškovi za stručno usavršavanje zaposlenika veći su zbog zapošljavanja novog domara u dvorani koji pohađa tečaj za osposobljavanje za polaganje stručnog ispita za RCG.</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Energija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33.357,31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21.315,47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63,9</w:t>
            </w:r>
          </w:p>
        </w:tc>
      </w:tr>
    </w:tbl>
    <w:p>
      <w:pPr>
        <w:spacing w:before="0" w:after="0"/>
      </w:pPr>
    </w:p>
    <w:p>
      <w:r>
        <w:t xml:space="preserve">Rashodi za energiju veći su u 2025. godini jer je bila veća potrošnja te je račun za prosinac 2024. godine knjižen u siječanj 2025.</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telefona, interneta, pošte i prijevoza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6.718,38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4.071,01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60,6</w:t>
            </w:r>
          </w:p>
        </w:tc>
      </w:tr>
    </w:tbl>
    <w:p>
      <w:pPr>
        <w:spacing w:before="0" w:after="0"/>
      </w:pPr>
    </w:p>
    <w:p>
      <w:r>
        <w:t xml:space="preserve">Rashodi za usluge telefona, interneta, pošte i prijevoza veći su u 2025. godini zbog većeg broja terenske nastave.</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15.490,35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17.104,85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110,4</w:t>
            </w:r>
          </w:p>
        </w:tc>
      </w:tr>
    </w:tbl>
    <w:p>
      <w:pPr>
        <w:spacing w:before="0" w:after="0"/>
      </w:pPr>
    </w:p>
    <w:p>
      <w:r>
        <w:t xml:space="preserve">Rashodi za usluge tekućeg i investicijskog održavanja odnose na izmjenu troputnog ventila u kotlovnici škole, popravak dijela krova škole, izmjenu panika lampi u školi i dvorani, izmjenu i postavljanje rolo zavjesa, popravak koševa u dvorani, servisiranje vatrogasnih aparata, vodoinstalaterske radove u dvorani te dr. sitnije popravke</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promidžbe i informiranja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14,9</w:t>
            </w:r>
          </w:p>
        </w:tc>
      </w:tr>
    </w:tbl>
    <w:p>
      <w:pPr>
        <w:spacing w:before="0" w:after="0"/>
      </w:pPr>
    </w:p>
    <w:p>
      <w:r>
        <w:t xml:space="preserve">Rashodi za usluge promidžbe i informiranja veći su u 2025. godini zbog natječaja za ravnatelja objavljenog u NN.</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4.253,00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7.865,38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184,9</w:t>
            </w:r>
          </w:p>
        </w:tc>
      </w:tr>
    </w:tbl>
    <w:p>
      <w:pPr>
        <w:spacing w:before="0" w:after="0"/>
      </w:pPr>
    </w:p>
    <w:p>
      <w:r>
        <w:t xml:space="preserve">Rashodi za komunalne usluge veći su jer su 2025. godini dimnjačarske usluge knjižene u srpnju, primljeni su računi za naknadu za uređenje voda koji nisu zaprimljeni u 2025., ali i u 2026. godini dolazi do rasta cijena komunalnih usluga.</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Zakupnine i najamnine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Trošak najamnine odnosi se na najam dvorane Edison za dodjelu završnih svjedodžbi.</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Zdravstvene i veterinarske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2.548,32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573,38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22,5</w:t>
            </w:r>
          </w:p>
        </w:tc>
      </w:tr>
    </w:tbl>
    <w:p>
      <w:pPr>
        <w:spacing w:before="0" w:after="0"/>
      </w:pPr>
    </w:p>
    <w:p>
      <w:r>
        <w:t xml:space="preserve">Rashodi za zdravstvene usluge veći su zbog toga što je sistematski pregled obavljen ranije te je račun prije zaprimljen.</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2.662,11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4.636,02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174,1</w:t>
            </w:r>
          </w:p>
        </w:tc>
      </w:tr>
    </w:tbl>
    <w:p>
      <w:pPr>
        <w:spacing w:before="0" w:after="0"/>
      </w:pPr>
    </w:p>
    <w:p>
      <w:r>
        <w:t xml:space="preserve">Rashodi za intelektualne i osobne usluge veći su zbog Ugovora o djelu domara za vrijeme trajanja Zimske malonogometne lige.</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troškova osobama izvan radnog odnosa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3.487,07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158,34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w:t>
            </w:r>
          </w:p>
        </w:tc>
      </w:tr>
    </w:tbl>
    <w:p>
      <w:pPr>
        <w:spacing w:before="0" w:after="0"/>
      </w:pPr>
    </w:p>
    <w:p>
      <w:r>
        <w:t xml:space="preserve">Rashodi za naknade troškova osobama izvan radnog odosa manji su zbog troškova mobilnosti učenika u 2025. godini u okviru završne aktivnosti Židovi u Karlovcu.</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Reprezentacija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373,40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1.313,64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351,8</w:t>
            </w:r>
          </w:p>
        </w:tc>
      </w:tr>
    </w:tbl>
    <w:p>
      <w:pPr>
        <w:spacing w:before="0" w:after="0"/>
      </w:pPr>
    </w:p>
    <w:p>
      <w:r>
        <w:t xml:space="preserve">Rashodi za reprezentaciju veći su zbog županijskog natjecanja iz matematike  i WorldSkills kojem smo bili domaćini.</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336,27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3.237,56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962,8</w:t>
            </w:r>
          </w:p>
        </w:tc>
      </w:tr>
    </w:tbl>
    <w:p>
      <w:pPr>
        <w:spacing w:before="0" w:after="0"/>
      </w:pPr>
    </w:p>
    <w:p>
      <w:r>
        <w:t xml:space="preserve">Ostali nespomenuti rashodi poslovanja odnose se na materijal potreban za natjecanje te na prijevoz učenika na terensku i modularnu nastavu.</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Bankarske usluge i usluge platnog prometa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305,56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Rashode za bankarske usluge nemamo zbog toga jer više nemamo vlastiti žiro račun.</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poslovanja - preneseni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103.346,30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Odlukom o raspodjeli rezultata donesenoj 30.1.2026. od stane školskog odbora manjak prihoda od nefinancijske imovine u iznosu 847,68 eura pokrio se iz manjka prihoda poslovanja, te sada preneseni manjak prihoda poslovanja iznosi 103.346,30 eura.</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Stambeni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Prihoda od stambenih objekata u 2026. godini nema jer su stanovi na kojima je postojalo stanarsko pravo otplaćeni.</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Uredska oprema i namještaj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229,95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2.660,56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1157,0</w:t>
            </w:r>
          </w:p>
        </w:tc>
      </w:tr>
    </w:tbl>
    <w:p>
      <w:pPr>
        <w:spacing w:before="0" w:after="0"/>
      </w:pPr>
    </w:p>
    <w:p>
      <w:r>
        <w:t xml:space="preserve">Rashodi uredske opreme i namještaja odnose se na recepcijski stol, 2 laptopa i 2 printera.</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Oprema za održavanje i zaštitu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3.228,83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Rashodi za opremu za održavanje i zaštitu odnosi se na nabavu 2 klima uređaja - server soba i učionica 35.</w:t>
      </w:r>
    </w:p>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4241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Knjige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Odnosi se na rashode za nabavu knjiga za knjižnicu.</w:t>
      </w:r>
    </w:p>
    <w:p/>
    <w:p>
      <w:pPr>
        <w:jc w:val="center"/>
        <w:pStyle w:val="Normal"/>
        <w:spacing w:line="240" w:lineRule="auto"/>
        <w:keepNext/>
      </w:pPr>
      <w:r>
        <w:rPr>
          <w:sz w:val="28"/>
          <w:rFonts w:ascii="Times New Roman" w:hAnsi="Times New Roman"/>
        </w:rPr>
        <w:t xml:space="preserve">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novčanih sredstava na kraju izvještajnog razdoblja (šifre 11P + '11-dugov.' - '11-potraž.')</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11K</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19.816,05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Stanja novčanih sredstava nema jer škola nema vlastiti žiro račun.</w:t>
      </w:r>
    </w:p>
    <w:p/>
    <w:p>
      <w:pPr>
        <w:jc w:val="center"/>
        <w:pStyle w:val="Normal"/>
        <w:spacing w:line="240" w:lineRule="auto"/>
        <w:keepNext/>
      </w:pPr>
      <w:r>
        <w:rPr>
          <w:sz w:val="28"/>
          <w:rFonts w:ascii="Times New Roman" w:hAnsi="Times New Roman"/>
        </w:rPr>
        <w:t xml:space="preserve">Bilješka 32.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Ugovori o djelu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1.421,07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2.884,98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203,0</w:t>
            </w:r>
          </w:p>
        </w:tc>
      </w:tr>
    </w:tbl>
    <w:p>
      <w:pPr>
        <w:spacing w:before="0" w:after="0"/>
      </w:pPr>
    </w:p>
    <w:p>
      <w:r>
        <w:t xml:space="preserve">Veći su rashodi u 2026. godini zbog Ugovora o djelu s domarom za dvoranu za vrijeme trajanja Zimske malonogometne lige.</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33.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Međusobne obveze subjekata općeg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1.116,19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Međusobne obveze odnose se na obveze za povrat u proračun sredstva koja refundira HZZO.</w:t>
      </w:r>
    </w:p>
    <w:p/>
    <w:p>
      <w:pPr>
        <w:jc w:val="center"/>
        <w:pStyle w:val="Normal"/>
        <w:spacing w:line="240" w:lineRule="auto"/>
        <w:keepNext/>
      </w:pPr>
      <w:r>
        <w:rPr>
          <w:sz w:val="28"/>
          <w:rFonts w:ascii="Times New Roman" w:hAnsi="Times New Roman"/>
        </w:rPr>
        <w:t xml:space="preserve">Bilješka 34.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obveza na početku izvještajnog razdoblja 1.1.2026. iznosi131.315,44 eura. Kroz razdoblje dolazi do povećanja obveza za 773.810,03 eura te smanjenja za 777.231,44 eura. Na kraju izvještajnog razdoblja obveze iznose 127.894,03 eura. </w:t>
      </w:r>
    </w:p>
    <w:p>
      <w:r>
        <w:t xml:space="preserve">Dospjele obveze na dan 30.6.2026. godine iznose 0,00 eura.</w:t>
      </w:r>
    </w:p>
    <w:p>
      <w:r>
        <w:t xml:space="preserve">Nedospjele obveze iznose 127.894,03 eura.</w:t>
      </w:r>
    </w:p>
    <w:p>
      <w:r>
        <w:t xml:space="preserve">Međusobne obveze subjekata općeg proračuna iznose 7.703,12 eura a odnose se na obveze za povrat u proračun sredstava koja refundira HZZO.</w:t>
      </w:r>
    </w:p>
    <w:p>
      <w:r>
        <w:t xml:space="preserve"> </w:t>
      </w:r>
    </w:p>
    <w:p/>
    <w:p>
      <w:pPr>
        <w:jc w:val="center"/>
        <w:pStyle w:val="Normal"/>
        <w:spacing w:line="240" w:lineRule="auto"/>
        <w:keepNext/>
      </w:pPr>
      <w:r>
        <w:rPr>
          <w:sz w:val="28"/>
          <w:rFonts w:ascii="Times New Roman" w:hAnsi="Times New Roman"/>
        </w:rPr>
        <w:t xml:space="preserve">Bilješka 35.</w:t>
      </w:r>
    </w:p>
    <w:p>
      <w:pPr>
        <w:jc w:val="both"/>
        <w:pStyle w:val="Normal"/>
        <w:spacing w:line="240" w:lineRule="auto"/>
      </w:pPr>
      <w:r>
        <w:rPr>
          <w:b/>
          <w:sz w:val="24"/>
          <w:rFonts w:ascii="Times New Roman" w:hAnsi="Times New Roman"/>
        </w:rPr>
        <w:t xml:space="preserve">EU izvještaj</w:t>
      </w:r>
    </w:p>
    <w:p>
      <w:r>
        <w:t xml:space="preserve">Ukupno ostvareni prihodi poslovanja za EU projekte u 2026. godini iznose 21.900,51 eura, od toga Nacionalno sufinanciranje iznosi 3.138,74 eura, a iz EU 18.761,77 eura.</w:t>
      </w:r>
    </w:p>
    <w:p>
      <w:r>
        <w:t xml:space="preserve">Prihodi iz nadležnog proračuna za financiranje rashoda odnose se na financiranje projekta Karlovačka županija za inkluzivne škole - Pomoćnici u nastavi.</w:t>
      </w:r>
    </w:p>
    <w:p>
      <w:r>
        <w:t xml:space="preserve">Ukupni rashodi poslovanja iznose 23.975,73 eura, od toga Nacionalno sufinanciranje iznosi 3.435,49 eura, a sredstva EU 20.540,24 eura. Najveći udio rashoda čine rashodi za zaposlene - plaće.</w:t>
      </w:r>
    </w:p>
    <w:p>
      <w:r>
        <w:t xml:space="preserve">Potraživanja za tekuće pomoći od međunarodnih organizacija odnose se na završnu isplatu za projekt ''Heritage Stewardship''.</w:t>
      </w:r>
    </w:p>
    <w:p>
      <w:r>
        <w:t xml:space="preserve">Obveze za EU predujmove odnose se na sredstva za projekt ''Heritage Stewardship''.</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1062916b3d884aa1" /></Relationships>
</file>